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A32" w:rsidRDefault="002C1892" w:rsidP="00230101">
      <w:pPr>
        <w:pStyle w:val="Heading1"/>
        <w:framePr w:w="8116" w:h="1546" w:hRule="exact" w:hSpace="180" w:wrap="around" w:vAnchor="text" w:hAnchor="page" w:x="1756" w:y="103"/>
        <w:jc w:val="center"/>
        <w:rPr>
          <w:b w:val="0"/>
        </w:rPr>
      </w:pPr>
      <w:bookmarkStart w:id="0" w:name="_GoBack"/>
      <w:bookmarkEnd w:id="0"/>
      <w:r>
        <w:rPr>
          <w:b w:val="0"/>
        </w:rPr>
        <w:t xml:space="preserve">Child Sexual Exploitation &amp; Child </w:t>
      </w:r>
      <w:r w:rsidR="00EC3D4D">
        <w:rPr>
          <w:b w:val="0"/>
        </w:rPr>
        <w:t>E</w:t>
      </w:r>
      <w:r>
        <w:rPr>
          <w:b w:val="0"/>
        </w:rPr>
        <w:t>xploitation</w:t>
      </w:r>
    </w:p>
    <w:p w:rsidR="002C1892" w:rsidRPr="002C1892" w:rsidRDefault="002C1892" w:rsidP="002C1892">
      <w:pPr>
        <w:framePr w:w="8116" w:h="1546" w:hRule="exact" w:hSpace="180" w:wrap="around" w:vAnchor="text" w:hAnchor="page" w:x="1756" w:y="103"/>
        <w:jc w:val="center"/>
      </w:pPr>
      <w:r>
        <w:t>Level 3</w:t>
      </w:r>
    </w:p>
    <w:p w:rsidR="00B41A32" w:rsidRDefault="00B41A32" w:rsidP="00B41A32">
      <w:pPr>
        <w:pStyle w:val="Heading2"/>
        <w:rPr>
          <w:rFonts w:ascii="Calibri" w:hAnsi="Calibri" w:cs="Calibri"/>
          <w:i w:val="0"/>
          <w:color w:val="808080"/>
        </w:rPr>
      </w:pPr>
      <w:r>
        <w:rPr>
          <w:rFonts w:ascii="Calibri" w:hAnsi="Calibri" w:cs="Calibri"/>
          <w:i w:val="0"/>
          <w:noProof/>
          <w:color w:val="808080"/>
        </w:rPr>
        <mc:AlternateContent>
          <mc:Choice Requires="wps">
            <w:drawing>
              <wp:anchor distT="0" distB="0" distL="114300" distR="114300" simplePos="0" relativeHeight="251659264" behindDoc="0" locked="0" layoutInCell="1" allowOverlap="1">
                <wp:simplePos x="0" y="0"/>
                <wp:positionH relativeFrom="column">
                  <wp:posOffset>109254</wp:posOffset>
                </wp:positionH>
                <wp:positionV relativeFrom="paragraph">
                  <wp:posOffset>817502</wp:posOffset>
                </wp:positionV>
                <wp:extent cx="6143625" cy="19050"/>
                <wp:effectExtent l="0" t="0" r="28575" b="19050"/>
                <wp:wrapNone/>
                <wp:docPr id="7" name="Straight Connector 7"/>
                <wp:cNvGraphicFramePr/>
                <a:graphic xmlns:a="http://schemas.openxmlformats.org/drawingml/2006/main">
                  <a:graphicData uri="http://schemas.microsoft.com/office/word/2010/wordprocessingShape">
                    <wps:wsp>
                      <wps:cNvCnPr/>
                      <wps:spPr>
                        <a:xfrm flipV="1">
                          <a:off x="0" y="0"/>
                          <a:ext cx="61436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F7BE03" id="Straight Connector 7"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8.6pt,64.35pt" to="492.35pt,6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" strokecolor="#4579b8 [3044]"/>
            </w:pict>
          </mc:Fallback>
        </mc:AlternateContent>
      </w:r>
      <w:r w:rsidRPr="00382B5B">
        <w:rPr>
          <w:rFonts w:ascii="Calibri" w:hAnsi="Calibri" w:cs="Calibri"/>
          <w:i w:val="0"/>
          <w:color w:val="808080"/>
        </w:rPr>
        <w:t>Introduction</w:t>
      </w:r>
    </w:p>
    <w:p w:rsidR="00EC3D4D" w:rsidRPr="00EC3D4D" w:rsidRDefault="00EC3D4D" w:rsidP="00EC3D4D">
      <w:pPr>
        <w:rPr>
          <w:rFonts w:asciiTheme="minorHAnsi" w:hAnsiTheme="minorHAnsi"/>
        </w:rPr>
      </w:pPr>
      <w:r w:rsidRPr="00EC3D4D">
        <w:rPr>
          <w:rFonts w:asciiTheme="minorHAnsi" w:hAnsiTheme="minorHAnsi"/>
        </w:rPr>
        <w:t xml:space="preserve">Sexual exploitation of children and young people </w:t>
      </w:r>
      <w:r w:rsidRPr="00EC3D4D">
        <w:rPr>
          <w:rFonts w:asciiTheme="minorHAnsi" w:hAnsiTheme="minorHAnsi"/>
          <w:b/>
        </w:rPr>
        <w:t xml:space="preserve">under 18 </w:t>
      </w:r>
      <w:r w:rsidRPr="00EC3D4D">
        <w:rPr>
          <w:rFonts w:asciiTheme="minorHAnsi" w:hAnsiTheme="minorHAnsi"/>
        </w:rPr>
        <w:t xml:space="preserve">involves exploitative </w:t>
      </w:r>
      <w:r w:rsidRPr="00EC3D4D">
        <w:rPr>
          <w:rFonts w:asciiTheme="minorHAnsi" w:hAnsiTheme="minorHAnsi"/>
          <w:b/>
        </w:rPr>
        <w:t xml:space="preserve">situations, contexts and relationships </w:t>
      </w:r>
      <w:r w:rsidRPr="00EC3D4D">
        <w:rPr>
          <w:rFonts w:asciiTheme="minorHAnsi" w:hAnsiTheme="minorHAnsi"/>
        </w:rPr>
        <w:t xml:space="preserve">where young people (or a third person or persons) receive ‘something’ (e.g. food, accommodation, drugs, alcohol, cigarettes, affection, gifts, money) as a result of them </w:t>
      </w:r>
    </w:p>
    <w:p w:rsidR="00EC3D4D" w:rsidRPr="00EC3D4D" w:rsidRDefault="00EC3D4D" w:rsidP="00EC3D4D">
      <w:pPr>
        <w:rPr>
          <w:rFonts w:asciiTheme="minorHAnsi" w:hAnsiTheme="minorHAnsi"/>
        </w:rPr>
      </w:pPr>
      <w:r w:rsidRPr="00EC3D4D">
        <w:rPr>
          <w:rFonts w:asciiTheme="minorHAnsi" w:hAnsiTheme="minorHAnsi"/>
        </w:rPr>
        <w:t xml:space="preserve">performing, and/or another or others performing on them, </w:t>
      </w:r>
      <w:r w:rsidRPr="00EC3D4D">
        <w:rPr>
          <w:rFonts w:asciiTheme="minorHAnsi" w:hAnsiTheme="minorHAnsi"/>
          <w:b/>
        </w:rPr>
        <w:t>sexual activities</w:t>
      </w:r>
      <w:r w:rsidRPr="00EC3D4D">
        <w:rPr>
          <w:rFonts w:asciiTheme="minorHAnsi" w:hAnsiTheme="minorHAnsi"/>
        </w:rPr>
        <w:t xml:space="preserve">. …. In all cases, those exploiting the child/young person have </w:t>
      </w:r>
      <w:r w:rsidRPr="00EC3D4D">
        <w:rPr>
          <w:rFonts w:asciiTheme="minorHAnsi" w:hAnsiTheme="minorHAnsi"/>
          <w:b/>
        </w:rPr>
        <w:t xml:space="preserve">power over them </w:t>
      </w:r>
      <w:r w:rsidRPr="00EC3D4D">
        <w:rPr>
          <w:rFonts w:asciiTheme="minorHAnsi" w:hAnsiTheme="minorHAnsi"/>
        </w:rPr>
        <w:t xml:space="preserve">by virtue of their age, gender, intellect, physical strength and/or economic or other resources. Violence, coercion and intimidation are common, involvement in exploitative relationships being </w:t>
      </w:r>
      <w:r w:rsidRPr="00EC3D4D">
        <w:rPr>
          <w:rFonts w:asciiTheme="minorHAnsi" w:hAnsiTheme="minorHAnsi"/>
          <w:b/>
        </w:rPr>
        <w:t xml:space="preserve">characterised in the main by the child or young person’s limited availability of choice </w:t>
      </w:r>
      <w:r w:rsidRPr="00EC3D4D">
        <w:rPr>
          <w:rFonts w:asciiTheme="minorHAnsi" w:hAnsiTheme="minorHAnsi"/>
        </w:rPr>
        <w:t xml:space="preserve">resulting from their social/economic and/or emotional vulnerability. </w:t>
      </w:r>
    </w:p>
    <w:p w:rsidR="002C1892" w:rsidRPr="00BD3F94" w:rsidRDefault="00EC3D4D" w:rsidP="002C1892">
      <w:pPr>
        <w:rPr>
          <w:rFonts w:asciiTheme="minorHAnsi" w:hAnsiTheme="minorHAnsi"/>
        </w:rPr>
      </w:pPr>
      <w:r w:rsidRPr="00EC3D4D">
        <w:rPr>
          <w:rFonts w:asciiTheme="minorHAnsi" w:hAnsiTheme="minorHAnsi"/>
        </w:rPr>
        <w:t xml:space="preserve"> </w:t>
      </w:r>
      <w:r>
        <w:rPr>
          <w:rFonts w:asciiTheme="minorHAnsi" w:hAnsiTheme="minorHAnsi"/>
        </w:rPr>
        <w:t xml:space="preserve">Sexual Exploitation </w:t>
      </w:r>
      <w:r w:rsidR="002C1892" w:rsidRPr="00BD3F94">
        <w:rPr>
          <w:rFonts w:asciiTheme="minorHAnsi" w:hAnsiTheme="minorHAnsi"/>
        </w:rPr>
        <w:t>affects boys and young</w:t>
      </w:r>
      <w:r>
        <w:rPr>
          <w:rFonts w:asciiTheme="minorHAnsi" w:hAnsiTheme="minorHAnsi"/>
        </w:rPr>
        <w:t xml:space="preserve"> </w:t>
      </w:r>
      <w:r w:rsidR="002C1892" w:rsidRPr="00BD3F94">
        <w:rPr>
          <w:rFonts w:asciiTheme="minorHAnsi" w:hAnsiTheme="minorHAnsi"/>
        </w:rPr>
        <w:t>men as well as girls and young women. It robs children of their childhood and can have a</w:t>
      </w:r>
      <w:r>
        <w:rPr>
          <w:rFonts w:asciiTheme="minorHAnsi" w:hAnsiTheme="minorHAnsi"/>
        </w:rPr>
        <w:t xml:space="preserve"> </w:t>
      </w:r>
      <w:r w:rsidR="002C1892" w:rsidRPr="00BD3F94">
        <w:rPr>
          <w:rFonts w:asciiTheme="minorHAnsi" w:hAnsiTheme="minorHAnsi"/>
        </w:rPr>
        <w:t>serious long-term impact on every aspect of their lives, health and education. It damages</w:t>
      </w:r>
      <w:r>
        <w:rPr>
          <w:rFonts w:asciiTheme="minorHAnsi" w:hAnsiTheme="minorHAnsi"/>
        </w:rPr>
        <w:t xml:space="preserve"> </w:t>
      </w:r>
      <w:r w:rsidR="002C1892" w:rsidRPr="00BD3F94">
        <w:rPr>
          <w:rFonts w:asciiTheme="minorHAnsi" w:hAnsiTheme="minorHAnsi"/>
        </w:rPr>
        <w:t>the lives of families and carers and can lead to family break-ups.” (Safeguarding Children</w:t>
      </w:r>
      <w:r>
        <w:rPr>
          <w:rFonts w:asciiTheme="minorHAnsi" w:hAnsiTheme="minorHAnsi"/>
        </w:rPr>
        <w:t xml:space="preserve"> </w:t>
      </w:r>
      <w:r w:rsidR="002C1892" w:rsidRPr="00BD3F94">
        <w:rPr>
          <w:rFonts w:asciiTheme="minorHAnsi" w:hAnsiTheme="minorHAnsi"/>
        </w:rPr>
        <w:t>and Young People from Sexual Exploitation DCSF 2009)</w:t>
      </w:r>
    </w:p>
    <w:p w:rsidR="00B41A32" w:rsidRPr="00BD3F94" w:rsidRDefault="00B41A32" w:rsidP="00B41A32">
      <w:pPr>
        <w:rPr>
          <w:rFonts w:asciiTheme="minorHAnsi" w:hAnsiTheme="minorHAnsi"/>
        </w:rPr>
      </w:pPr>
    </w:p>
    <w:p w:rsidR="002C1892" w:rsidRDefault="002C1892" w:rsidP="00B41A32">
      <w:pPr>
        <w:rPr>
          <w:rFonts w:asciiTheme="minorHAnsi" w:hAnsiTheme="minorHAnsi" w:cs="Arial"/>
        </w:rPr>
      </w:pPr>
      <w:r w:rsidRPr="00BD3F94">
        <w:rPr>
          <w:rFonts w:asciiTheme="minorHAnsi" w:hAnsiTheme="minorHAnsi" w:cs="Arial"/>
        </w:rPr>
        <w:t>National and local trends have identified links between child sexual exploitation and other forms of of child exploitation and adolescent risk including County Lines, Knife Crime, Trafficking, Gangs and Groups.</w:t>
      </w:r>
    </w:p>
    <w:p w:rsidR="00BD3F94" w:rsidRPr="00BD3F94" w:rsidRDefault="00BD3F94" w:rsidP="00B41A32">
      <w:pPr>
        <w:rPr>
          <w:rFonts w:asciiTheme="minorHAnsi" w:hAnsiTheme="minorHAnsi" w:cs="Calibri"/>
          <w:b/>
          <w:bCs/>
          <w:color w:val="808080"/>
        </w:rPr>
      </w:pPr>
    </w:p>
    <w:p w:rsidR="00B41A32" w:rsidRDefault="00B41A32" w:rsidP="00B41A32">
      <w:pPr>
        <w:rPr>
          <w:rFonts w:ascii="Calibri" w:hAnsi="Calibri" w:cs="Calibri"/>
          <w:b/>
          <w:bCs/>
          <w:color w:val="808080"/>
        </w:rPr>
      </w:pPr>
      <w:r w:rsidRPr="004139D2">
        <w:rPr>
          <w:rFonts w:ascii="Calibri" w:hAnsi="Calibri" w:cs="Calibri"/>
          <w:b/>
          <w:bCs/>
          <w:color w:val="808080"/>
        </w:rPr>
        <w:t>Content</w:t>
      </w:r>
      <w:r>
        <w:rPr>
          <w:rFonts w:ascii="Calibri" w:hAnsi="Calibri" w:cs="Calibri"/>
          <w:b/>
          <w:bCs/>
          <w:color w:val="808080"/>
        </w:rPr>
        <w:t xml:space="preserve">: </w:t>
      </w:r>
    </w:p>
    <w:p w:rsidR="002C1892" w:rsidRPr="00BD3F94" w:rsidRDefault="002C1892" w:rsidP="002C1892">
      <w:pPr>
        <w:rPr>
          <w:rFonts w:asciiTheme="minorHAnsi" w:hAnsiTheme="minorHAnsi" w:cs="Arial"/>
          <w:color w:val="000000"/>
          <w:shd w:val="clear" w:color="auto" w:fill="FFFFFF"/>
        </w:rPr>
      </w:pPr>
      <w:r w:rsidRPr="00BD3F94">
        <w:rPr>
          <w:rFonts w:asciiTheme="minorHAnsi" w:hAnsiTheme="minorHAnsi" w:cs="Calibri"/>
          <w:bCs/>
        </w:rPr>
        <w:t>This training will</w:t>
      </w:r>
      <w:r w:rsidRPr="00BD3F94">
        <w:rPr>
          <w:rFonts w:asciiTheme="minorHAnsi" w:hAnsiTheme="minorHAnsi" w:cs="Arial"/>
          <w:shd w:val="clear" w:color="auto" w:fill="FFFFFF"/>
        </w:rPr>
        <w:t xml:space="preserve"> </w:t>
      </w:r>
      <w:r w:rsidRPr="00BD3F94">
        <w:rPr>
          <w:rFonts w:asciiTheme="minorHAnsi" w:hAnsiTheme="minorHAnsi" w:cs="Arial"/>
          <w:color w:val="000000"/>
          <w:shd w:val="clear" w:color="auto" w:fill="FFFFFF"/>
        </w:rPr>
        <w:t xml:space="preserve">focus on developing an understanding of the nature of sexual exploitation and how it links to other forms of child </w:t>
      </w:r>
      <w:r w:rsidR="00BD3F94">
        <w:rPr>
          <w:rFonts w:asciiTheme="minorHAnsi" w:hAnsiTheme="minorHAnsi" w:cs="Arial"/>
          <w:color w:val="000000"/>
          <w:shd w:val="clear" w:color="auto" w:fill="FFFFFF"/>
        </w:rPr>
        <w:t xml:space="preserve">exploitation </w:t>
      </w:r>
      <w:r w:rsidRPr="00BD3F94">
        <w:rPr>
          <w:rFonts w:asciiTheme="minorHAnsi" w:hAnsiTheme="minorHAnsi" w:cs="Arial"/>
          <w:color w:val="000000"/>
          <w:shd w:val="clear" w:color="auto" w:fill="FFFFFF"/>
        </w:rPr>
        <w:t>by identifying the vulnerability factors and risk indicators. This will include knowledge and understanding of child exploitation and child protection issues. Participants will explore safeguarding procedures when a child or young person has been identified as being at risk of sexual exploitation. There will be an introduction to the key terminology in relation to work on sexual exploitation creating an awareness that sexual exploitation can effect both boys and girls including all young people from all social and ethnic groups.</w:t>
      </w:r>
    </w:p>
    <w:p w:rsidR="002C1892" w:rsidRPr="00BD3F94" w:rsidRDefault="002C1892" w:rsidP="00B41A32">
      <w:pPr>
        <w:rPr>
          <w:rFonts w:asciiTheme="minorHAnsi" w:hAnsiTheme="minorHAnsi" w:cs="Calibri"/>
          <w:bCs/>
          <w:color w:val="808080"/>
        </w:rPr>
      </w:pPr>
    </w:p>
    <w:p w:rsidR="00B41A32" w:rsidRDefault="00B809A8" w:rsidP="00B41A32">
      <w:pPr>
        <w:rPr>
          <w:rFonts w:ascii="Calibri" w:hAnsi="Calibri" w:cs="Calibri"/>
          <w:b/>
          <w:bCs/>
          <w:color w:val="808080"/>
        </w:rPr>
      </w:pPr>
      <w:r w:rsidRPr="004139D2">
        <w:rPr>
          <w:rFonts w:ascii="Calibri" w:hAnsi="Calibri" w:cs="Calibri"/>
          <w:b/>
          <w:bCs/>
          <w:color w:val="808080"/>
        </w:rPr>
        <w:t>Learning outcomes</w:t>
      </w:r>
    </w:p>
    <w:p w:rsidR="00B809A8" w:rsidRPr="00BD3F94" w:rsidRDefault="00B809A8" w:rsidP="00B809A8">
      <w:pPr>
        <w:pStyle w:val="NormalWeb"/>
        <w:shd w:val="clear" w:color="auto" w:fill="FFFFFF"/>
        <w:rPr>
          <w:rFonts w:asciiTheme="minorHAnsi" w:hAnsiTheme="minorHAnsi" w:cs="Arial"/>
          <w:color w:val="000000"/>
        </w:rPr>
      </w:pPr>
      <w:r w:rsidRPr="00BD3F94">
        <w:rPr>
          <w:rFonts w:asciiTheme="minorHAnsi" w:hAnsiTheme="minorHAnsi" w:cs="Arial"/>
          <w:color w:val="000000"/>
        </w:rPr>
        <w:t>On completion of this course participants will:</w:t>
      </w:r>
    </w:p>
    <w:p w:rsidR="002C1892" w:rsidRPr="00BD3F94" w:rsidRDefault="002C1892" w:rsidP="002C1892">
      <w:pPr>
        <w:pStyle w:val="ListParagraph"/>
        <w:numPr>
          <w:ilvl w:val="0"/>
          <w:numId w:val="5"/>
        </w:numPr>
        <w:shd w:val="clear" w:color="auto" w:fill="FFFFFF"/>
        <w:rPr>
          <w:rFonts w:asciiTheme="minorHAnsi" w:hAnsiTheme="minorHAnsi" w:cs="Arial"/>
          <w:color w:val="000000"/>
        </w:rPr>
      </w:pPr>
      <w:r w:rsidRPr="00BD3F94">
        <w:rPr>
          <w:rFonts w:asciiTheme="minorHAnsi" w:hAnsiTheme="minorHAnsi" w:cs="Arial"/>
          <w:color w:val="000000"/>
        </w:rPr>
        <w:t>Identify risk indicators and vulnerability factors of children who are at risk of Child Exploitation and Child Sexual Exploitation</w:t>
      </w:r>
    </w:p>
    <w:p w:rsidR="002C1892" w:rsidRPr="00BD3F94" w:rsidRDefault="002C1892" w:rsidP="002C1892">
      <w:pPr>
        <w:pStyle w:val="ListParagraph"/>
        <w:numPr>
          <w:ilvl w:val="0"/>
          <w:numId w:val="5"/>
        </w:numPr>
        <w:shd w:val="clear" w:color="auto" w:fill="FFFFFF"/>
        <w:rPr>
          <w:rFonts w:asciiTheme="minorHAnsi" w:hAnsiTheme="minorHAnsi" w:cs="Arial"/>
          <w:color w:val="000000"/>
        </w:rPr>
      </w:pPr>
      <w:r w:rsidRPr="00BD3F94">
        <w:rPr>
          <w:rFonts w:asciiTheme="minorHAnsi" w:hAnsiTheme="minorHAnsi" w:cs="Arial"/>
          <w:color w:val="000000"/>
        </w:rPr>
        <w:lastRenderedPageBreak/>
        <w:br/>
        <w:t> Describe the barriers young people may have when disclosing and the impact the disclosures could have on the young person and their family</w:t>
      </w:r>
    </w:p>
    <w:p w:rsidR="002C1892" w:rsidRPr="00BD3F94" w:rsidRDefault="002C1892" w:rsidP="002C1892">
      <w:pPr>
        <w:pStyle w:val="ListParagraph"/>
        <w:numPr>
          <w:ilvl w:val="0"/>
          <w:numId w:val="5"/>
        </w:numPr>
        <w:shd w:val="clear" w:color="auto" w:fill="FFFFFF"/>
        <w:rPr>
          <w:rFonts w:asciiTheme="minorHAnsi" w:hAnsiTheme="minorHAnsi" w:cs="Arial"/>
          <w:color w:val="000000"/>
        </w:rPr>
      </w:pPr>
      <w:r w:rsidRPr="00BD3F94">
        <w:rPr>
          <w:rFonts w:asciiTheme="minorHAnsi" w:hAnsiTheme="minorHAnsi" w:cs="Arial"/>
          <w:color w:val="000000"/>
        </w:rPr>
        <w:br/>
        <w:t>Demonstrate the need for multi-agency working and be able to identify the additional support needs of children and carers</w:t>
      </w:r>
    </w:p>
    <w:p w:rsidR="002C1892" w:rsidRPr="00BD3F94" w:rsidRDefault="002C1892" w:rsidP="002C1892">
      <w:pPr>
        <w:pStyle w:val="ListParagraph"/>
        <w:numPr>
          <w:ilvl w:val="0"/>
          <w:numId w:val="5"/>
        </w:numPr>
        <w:shd w:val="clear" w:color="auto" w:fill="FFFFFF"/>
        <w:rPr>
          <w:rFonts w:asciiTheme="minorHAnsi" w:hAnsiTheme="minorHAnsi" w:cs="Arial"/>
          <w:color w:val="000000"/>
        </w:rPr>
      </w:pPr>
      <w:r w:rsidRPr="00BD3F94">
        <w:rPr>
          <w:rFonts w:asciiTheme="minorHAnsi" w:hAnsiTheme="minorHAnsi" w:cs="Arial"/>
          <w:color w:val="000000"/>
        </w:rPr>
        <w:br/>
        <w:t>Indicate the importance of sharing relevant information in order to safeguard children and young people</w:t>
      </w:r>
    </w:p>
    <w:p w:rsidR="002C1892" w:rsidRPr="00BD3F94" w:rsidRDefault="002C1892" w:rsidP="002C1892">
      <w:pPr>
        <w:shd w:val="clear" w:color="auto" w:fill="FFFFFF"/>
        <w:rPr>
          <w:rFonts w:asciiTheme="minorHAnsi" w:hAnsiTheme="minorHAnsi" w:cs="Arial"/>
          <w:color w:val="000000"/>
        </w:rPr>
      </w:pPr>
    </w:p>
    <w:p w:rsidR="002C1892" w:rsidRPr="00BD3F94" w:rsidRDefault="002C1892" w:rsidP="002C1892">
      <w:pPr>
        <w:pStyle w:val="ListParagraph"/>
        <w:numPr>
          <w:ilvl w:val="0"/>
          <w:numId w:val="5"/>
        </w:numPr>
        <w:shd w:val="clear" w:color="auto" w:fill="FFFFFF"/>
        <w:rPr>
          <w:rFonts w:asciiTheme="minorHAnsi" w:hAnsiTheme="minorHAnsi" w:cs="Arial"/>
          <w:color w:val="000000"/>
        </w:rPr>
      </w:pPr>
      <w:r w:rsidRPr="00BD3F94">
        <w:rPr>
          <w:rFonts w:asciiTheme="minorHAnsi" w:hAnsiTheme="minorHAnsi" w:cs="Arial"/>
          <w:color w:val="000000"/>
        </w:rPr>
        <w:t>Have an understanding of the local response in Kingston &amp; Richmond when a child is identified as being at risk of or experiencing exploitation</w:t>
      </w:r>
    </w:p>
    <w:p w:rsidR="002C1892" w:rsidRPr="00E625D5" w:rsidRDefault="002C1892" w:rsidP="002C1892">
      <w:pPr>
        <w:shd w:val="clear" w:color="auto" w:fill="FFFFFF"/>
        <w:ind w:left="60"/>
        <w:rPr>
          <w:rFonts w:asciiTheme="minorHAnsi" w:hAnsiTheme="minorHAnsi" w:cs="Arial"/>
          <w:color w:val="000000"/>
        </w:rPr>
      </w:pPr>
    </w:p>
    <w:p w:rsidR="00B809A8" w:rsidRDefault="00B809A8" w:rsidP="002C1892">
      <w:pPr>
        <w:rPr>
          <w:rFonts w:ascii="Calibri" w:hAnsi="Calibri" w:cs="Calibri"/>
          <w:bCs/>
          <w:color w:val="808080"/>
        </w:rPr>
      </w:pPr>
    </w:p>
    <w:p w:rsidR="00B809A8" w:rsidRDefault="00B809A8" w:rsidP="002C1892">
      <w:pPr>
        <w:rPr>
          <w:rFonts w:ascii="Calibri" w:hAnsi="Calibri" w:cs="Calibri"/>
          <w:bCs/>
          <w:color w:val="808080"/>
        </w:rPr>
      </w:pPr>
    </w:p>
    <w:p w:rsidR="00B41A32" w:rsidRDefault="00B41A32" w:rsidP="00B41A32">
      <w:pPr>
        <w:framePr w:hSpace="180" w:wrap="around" w:vAnchor="text" w:hAnchor="margin" w:y="-171"/>
        <w:rPr>
          <w:rFonts w:ascii="Calibri" w:hAnsi="Calibri" w:cs="Calibri"/>
          <w:b/>
          <w:bCs/>
          <w:color w:val="808080"/>
        </w:rPr>
      </w:pPr>
      <w:r>
        <w:rPr>
          <w:rFonts w:ascii="Calibri" w:hAnsi="Calibri" w:cs="Calibri"/>
          <w:b/>
          <w:bCs/>
          <w:color w:val="808080"/>
        </w:rPr>
        <w:t>:</w:t>
      </w:r>
    </w:p>
    <w:tbl>
      <w:tblPr>
        <w:tblpPr w:leftFromText="180" w:rightFromText="180" w:bottomFromText="200" w:vertAnchor="text" w:horzAnchor="margin" w:tblpY="-171"/>
        <w:tblW w:w="9844" w:type="dxa"/>
        <w:tblBorders>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3714"/>
        <w:gridCol w:w="6130"/>
      </w:tblGrid>
      <w:tr w:rsidR="0009445B" w:rsidTr="0009445B">
        <w:trPr>
          <w:trHeight w:val="295"/>
        </w:trPr>
        <w:tc>
          <w:tcPr>
            <w:tcW w:w="3714" w:type="dxa"/>
            <w:tcBorders>
              <w:top w:val="single" w:sz="4" w:space="0" w:color="808080"/>
              <w:left w:val="single" w:sz="4" w:space="0" w:color="808080"/>
              <w:bottom w:val="single" w:sz="4" w:space="0" w:color="808080"/>
              <w:right w:val="single" w:sz="4" w:space="0" w:color="808080"/>
            </w:tcBorders>
            <w:shd w:val="clear" w:color="auto" w:fill="7030A0"/>
            <w:hideMark/>
          </w:tcPr>
          <w:p w:rsidR="0009445B" w:rsidRDefault="0009445B" w:rsidP="0073063F">
            <w:pPr>
              <w:spacing w:line="276" w:lineRule="auto"/>
              <w:rPr>
                <w:rFonts w:ascii="Calibri" w:hAnsi="Calibri" w:cs="Arial"/>
                <w:b/>
                <w:color w:val="FFFFFF"/>
                <w:lang w:eastAsia="en-US"/>
              </w:rPr>
            </w:pPr>
            <w:r>
              <w:rPr>
                <w:rFonts w:ascii="Calibri" w:hAnsi="Calibri" w:cs="Arial"/>
                <w:b/>
                <w:color w:val="FFFFFF"/>
                <w:lang w:eastAsia="en-US"/>
              </w:rPr>
              <w:t>Audience</w:t>
            </w:r>
          </w:p>
        </w:tc>
        <w:tc>
          <w:tcPr>
            <w:tcW w:w="6130" w:type="dxa"/>
            <w:tcBorders>
              <w:top w:val="single" w:sz="4" w:space="0" w:color="808080"/>
              <w:left w:val="single" w:sz="4" w:space="0" w:color="808080"/>
              <w:bottom w:val="single" w:sz="4" w:space="0" w:color="808080"/>
              <w:right w:val="single" w:sz="4" w:space="0" w:color="808080"/>
            </w:tcBorders>
            <w:hideMark/>
          </w:tcPr>
          <w:p w:rsidR="0009445B" w:rsidRDefault="0009445B" w:rsidP="0073063F">
            <w:pPr>
              <w:spacing w:line="276" w:lineRule="auto"/>
              <w:rPr>
                <w:rFonts w:ascii="Calibri" w:hAnsi="Calibri" w:cs="Arial"/>
                <w:b/>
                <w:color w:val="808080"/>
                <w:lang w:eastAsia="en-US"/>
              </w:rPr>
            </w:pPr>
            <w:r>
              <w:rPr>
                <w:rFonts w:ascii="Calibri" w:hAnsi="Calibri" w:cs="Arial"/>
                <w:b/>
                <w:color w:val="808080"/>
                <w:lang w:eastAsia="en-US"/>
              </w:rPr>
              <w:t>Multi Agency</w:t>
            </w:r>
          </w:p>
        </w:tc>
      </w:tr>
      <w:tr w:rsidR="0009445B" w:rsidTr="0009445B">
        <w:trPr>
          <w:trHeight w:val="295"/>
        </w:trPr>
        <w:tc>
          <w:tcPr>
            <w:tcW w:w="3714" w:type="dxa"/>
            <w:tcBorders>
              <w:top w:val="single" w:sz="4" w:space="0" w:color="808080"/>
              <w:left w:val="single" w:sz="4" w:space="0" w:color="808080"/>
              <w:bottom w:val="single" w:sz="4" w:space="0" w:color="808080"/>
              <w:right w:val="single" w:sz="4" w:space="0" w:color="808080"/>
            </w:tcBorders>
            <w:shd w:val="clear" w:color="auto" w:fill="7030A0"/>
            <w:hideMark/>
          </w:tcPr>
          <w:p w:rsidR="0009445B" w:rsidRDefault="0009445B" w:rsidP="0073063F">
            <w:pPr>
              <w:spacing w:line="276" w:lineRule="auto"/>
              <w:rPr>
                <w:rFonts w:ascii="Calibri" w:hAnsi="Calibri" w:cs="Arial"/>
                <w:b/>
                <w:color w:val="FFFFFF"/>
                <w:lang w:eastAsia="en-US"/>
              </w:rPr>
            </w:pPr>
            <w:r>
              <w:rPr>
                <w:rFonts w:ascii="Calibri" w:hAnsi="Calibri" w:cs="Arial"/>
                <w:b/>
                <w:color w:val="FFFFFF"/>
                <w:lang w:eastAsia="en-US"/>
              </w:rPr>
              <w:t>Date</w:t>
            </w:r>
          </w:p>
        </w:tc>
        <w:tc>
          <w:tcPr>
            <w:tcW w:w="6130" w:type="dxa"/>
            <w:tcBorders>
              <w:top w:val="single" w:sz="4" w:space="0" w:color="808080"/>
              <w:left w:val="single" w:sz="4" w:space="0" w:color="808080"/>
              <w:bottom w:val="single" w:sz="4" w:space="0" w:color="808080"/>
              <w:right w:val="single" w:sz="4" w:space="0" w:color="808080"/>
            </w:tcBorders>
            <w:hideMark/>
          </w:tcPr>
          <w:p w:rsidR="0009445B" w:rsidRDefault="002C1892" w:rsidP="0073063F">
            <w:pPr>
              <w:spacing w:line="276" w:lineRule="auto"/>
              <w:rPr>
                <w:rFonts w:ascii="Calibri" w:hAnsi="Calibri" w:cs="Arial"/>
                <w:b/>
                <w:color w:val="808080"/>
                <w:lang w:eastAsia="en-US"/>
              </w:rPr>
            </w:pPr>
            <w:r>
              <w:rPr>
                <w:rFonts w:ascii="Arial" w:hAnsi="Arial" w:cs="Arial"/>
                <w:color w:val="000000"/>
                <w:sz w:val="18"/>
                <w:szCs w:val="18"/>
                <w:shd w:val="clear" w:color="auto" w:fill="FFFFFF"/>
              </w:rPr>
              <w:t>01/05/2019</w:t>
            </w:r>
          </w:p>
        </w:tc>
      </w:tr>
      <w:tr w:rsidR="0009445B" w:rsidTr="0009445B">
        <w:trPr>
          <w:trHeight w:val="358"/>
        </w:trPr>
        <w:tc>
          <w:tcPr>
            <w:tcW w:w="3714" w:type="dxa"/>
            <w:tcBorders>
              <w:top w:val="single" w:sz="4" w:space="0" w:color="808080"/>
              <w:left w:val="single" w:sz="4" w:space="0" w:color="808080"/>
              <w:bottom w:val="single" w:sz="4" w:space="0" w:color="808080"/>
              <w:right w:val="single" w:sz="4" w:space="0" w:color="808080"/>
            </w:tcBorders>
            <w:shd w:val="clear" w:color="auto" w:fill="7030A0"/>
            <w:hideMark/>
          </w:tcPr>
          <w:p w:rsidR="0009445B" w:rsidRDefault="0009445B" w:rsidP="0073063F">
            <w:pPr>
              <w:spacing w:line="276" w:lineRule="auto"/>
              <w:rPr>
                <w:rFonts w:ascii="Calibri" w:hAnsi="Calibri" w:cs="Arial"/>
                <w:b/>
                <w:color w:val="FFFFFF"/>
                <w:lang w:eastAsia="en-US"/>
              </w:rPr>
            </w:pPr>
            <w:r>
              <w:rPr>
                <w:rFonts w:ascii="Calibri" w:hAnsi="Calibri" w:cs="Arial"/>
                <w:b/>
                <w:color w:val="FFFFFF"/>
                <w:lang w:eastAsia="en-US"/>
              </w:rPr>
              <w:t>Time</w:t>
            </w:r>
          </w:p>
        </w:tc>
        <w:tc>
          <w:tcPr>
            <w:tcW w:w="6130" w:type="dxa"/>
            <w:tcBorders>
              <w:top w:val="single" w:sz="4" w:space="0" w:color="808080"/>
              <w:left w:val="single" w:sz="4" w:space="0" w:color="808080"/>
              <w:bottom w:val="single" w:sz="4" w:space="0" w:color="808080"/>
              <w:right w:val="single" w:sz="4" w:space="0" w:color="808080"/>
            </w:tcBorders>
            <w:hideMark/>
          </w:tcPr>
          <w:p w:rsidR="0009445B" w:rsidRDefault="002C1892" w:rsidP="0073063F">
            <w:pPr>
              <w:spacing w:line="276" w:lineRule="auto"/>
              <w:rPr>
                <w:rFonts w:ascii="Calibri" w:hAnsi="Calibri" w:cs="Arial"/>
                <w:b/>
                <w:color w:val="808080"/>
                <w:lang w:eastAsia="en-US"/>
              </w:rPr>
            </w:pPr>
            <w:r>
              <w:rPr>
                <w:rFonts w:ascii="Arial" w:hAnsi="Arial" w:cs="Arial"/>
                <w:color w:val="000000"/>
                <w:sz w:val="18"/>
                <w:szCs w:val="18"/>
                <w:shd w:val="clear" w:color="auto" w:fill="FFFFFF"/>
              </w:rPr>
              <w:t>09:30 - 16:30</w:t>
            </w:r>
          </w:p>
        </w:tc>
      </w:tr>
      <w:tr w:rsidR="0009445B" w:rsidTr="0009445B">
        <w:trPr>
          <w:trHeight w:val="337"/>
        </w:trPr>
        <w:tc>
          <w:tcPr>
            <w:tcW w:w="3714" w:type="dxa"/>
            <w:tcBorders>
              <w:top w:val="single" w:sz="4" w:space="0" w:color="808080"/>
              <w:left w:val="single" w:sz="4" w:space="0" w:color="808080"/>
              <w:bottom w:val="single" w:sz="4" w:space="0" w:color="808080"/>
              <w:right w:val="single" w:sz="4" w:space="0" w:color="808080"/>
            </w:tcBorders>
            <w:shd w:val="clear" w:color="auto" w:fill="7030A0"/>
            <w:hideMark/>
          </w:tcPr>
          <w:p w:rsidR="0009445B" w:rsidRDefault="0009445B" w:rsidP="0073063F">
            <w:pPr>
              <w:spacing w:line="276" w:lineRule="auto"/>
              <w:rPr>
                <w:rFonts w:ascii="Calibri" w:hAnsi="Calibri" w:cs="Arial"/>
                <w:b/>
                <w:color w:val="FFFFFF"/>
                <w:lang w:eastAsia="en-US"/>
              </w:rPr>
            </w:pPr>
            <w:r>
              <w:rPr>
                <w:rFonts w:ascii="Calibri" w:hAnsi="Calibri" w:cs="Arial"/>
                <w:b/>
                <w:color w:val="FFFFFF"/>
                <w:lang w:eastAsia="en-US"/>
              </w:rPr>
              <w:t>Trainer</w:t>
            </w:r>
          </w:p>
        </w:tc>
        <w:tc>
          <w:tcPr>
            <w:tcW w:w="6130" w:type="dxa"/>
            <w:tcBorders>
              <w:top w:val="single" w:sz="4" w:space="0" w:color="808080"/>
              <w:left w:val="single" w:sz="4" w:space="0" w:color="808080"/>
              <w:bottom w:val="single" w:sz="4" w:space="0" w:color="808080"/>
              <w:right w:val="single" w:sz="4" w:space="0" w:color="808080"/>
            </w:tcBorders>
            <w:hideMark/>
          </w:tcPr>
          <w:p w:rsidR="0009445B" w:rsidRDefault="002C1892" w:rsidP="0073063F">
            <w:pPr>
              <w:spacing w:line="276" w:lineRule="auto"/>
              <w:rPr>
                <w:rFonts w:ascii="Calibri" w:hAnsi="Calibri" w:cs="Calibri"/>
                <w:b/>
                <w:color w:val="7F7F7F"/>
                <w:lang w:eastAsia="en-US"/>
              </w:rPr>
            </w:pPr>
            <w:r>
              <w:rPr>
                <w:rFonts w:ascii="Calibri" w:hAnsi="Calibri" w:cs="Calibri"/>
                <w:b/>
                <w:color w:val="7F7F7F"/>
                <w:lang w:eastAsia="en-US"/>
              </w:rPr>
              <w:t>Mike Smith</w:t>
            </w:r>
          </w:p>
        </w:tc>
      </w:tr>
      <w:tr w:rsidR="0009445B" w:rsidTr="0009445B">
        <w:trPr>
          <w:trHeight w:val="633"/>
        </w:trPr>
        <w:tc>
          <w:tcPr>
            <w:tcW w:w="3714" w:type="dxa"/>
            <w:tcBorders>
              <w:top w:val="single" w:sz="4" w:space="0" w:color="808080"/>
              <w:left w:val="single" w:sz="4" w:space="0" w:color="808080"/>
              <w:bottom w:val="single" w:sz="4" w:space="0" w:color="808080"/>
              <w:right w:val="single" w:sz="4" w:space="0" w:color="808080"/>
            </w:tcBorders>
            <w:shd w:val="clear" w:color="auto" w:fill="7030A0"/>
            <w:hideMark/>
          </w:tcPr>
          <w:p w:rsidR="0009445B" w:rsidRDefault="0009445B" w:rsidP="0073063F">
            <w:pPr>
              <w:spacing w:line="276" w:lineRule="auto"/>
              <w:rPr>
                <w:rFonts w:ascii="Calibri" w:hAnsi="Calibri" w:cs="Arial"/>
                <w:b/>
                <w:color w:val="FFFFFF"/>
                <w:lang w:eastAsia="en-US"/>
              </w:rPr>
            </w:pPr>
            <w:r>
              <w:rPr>
                <w:rFonts w:ascii="Calibri" w:hAnsi="Calibri" w:cs="Arial"/>
                <w:b/>
                <w:color w:val="FFFFFF"/>
                <w:lang w:eastAsia="en-US"/>
              </w:rPr>
              <w:t>Venue</w:t>
            </w:r>
          </w:p>
        </w:tc>
        <w:tc>
          <w:tcPr>
            <w:tcW w:w="6130" w:type="dxa"/>
            <w:tcBorders>
              <w:top w:val="single" w:sz="4" w:space="0" w:color="808080"/>
              <w:left w:val="single" w:sz="4" w:space="0" w:color="808080"/>
              <w:bottom w:val="single" w:sz="4" w:space="0" w:color="808080"/>
              <w:right w:val="single" w:sz="4" w:space="0" w:color="808080"/>
            </w:tcBorders>
            <w:hideMark/>
          </w:tcPr>
          <w:p w:rsidR="0009445B" w:rsidRDefault="002C1892" w:rsidP="0073063F">
            <w:pPr>
              <w:spacing w:line="276" w:lineRule="auto"/>
              <w:rPr>
                <w:rFonts w:ascii="Calibri" w:hAnsi="Calibri" w:cs="Arial"/>
                <w:b/>
                <w:color w:val="808080"/>
                <w:lang w:eastAsia="en-US"/>
              </w:rPr>
            </w:pPr>
            <w:r>
              <w:rPr>
                <w:rFonts w:ascii="Arial" w:hAnsi="Arial" w:cs="Arial"/>
                <w:color w:val="000000"/>
                <w:sz w:val="18"/>
                <w:szCs w:val="18"/>
                <w:shd w:val="clear" w:color="auto" w:fill="FFFFFF"/>
              </w:rPr>
              <w:t>The Salon, </w:t>
            </w:r>
            <w:r>
              <w:rPr>
                <w:rFonts w:ascii="Arial" w:hAnsi="Arial" w:cs="Arial"/>
                <w:color w:val="000000"/>
                <w:sz w:val="18"/>
                <w:szCs w:val="18"/>
              </w:rPr>
              <w:br/>
            </w:r>
            <w:r>
              <w:rPr>
                <w:rFonts w:ascii="Arial" w:hAnsi="Arial" w:cs="Arial"/>
                <w:color w:val="000000"/>
                <w:sz w:val="18"/>
                <w:szCs w:val="18"/>
                <w:shd w:val="clear" w:color="auto" w:fill="FFFFFF"/>
              </w:rPr>
              <w:t>York House, </w:t>
            </w:r>
            <w:r>
              <w:rPr>
                <w:rFonts w:ascii="Arial" w:hAnsi="Arial" w:cs="Arial"/>
                <w:color w:val="000000"/>
                <w:sz w:val="18"/>
                <w:szCs w:val="18"/>
              </w:rPr>
              <w:br/>
            </w:r>
            <w:r>
              <w:rPr>
                <w:rFonts w:ascii="Arial" w:hAnsi="Arial" w:cs="Arial"/>
                <w:color w:val="000000"/>
                <w:sz w:val="18"/>
                <w:szCs w:val="18"/>
                <w:shd w:val="clear" w:color="auto" w:fill="FFFFFF"/>
              </w:rPr>
              <w:t>Twickenham,</w:t>
            </w:r>
            <w:r>
              <w:rPr>
                <w:rFonts w:ascii="Arial" w:hAnsi="Arial" w:cs="Arial"/>
                <w:color w:val="000000"/>
                <w:sz w:val="18"/>
                <w:szCs w:val="18"/>
              </w:rPr>
              <w:br/>
            </w:r>
            <w:r>
              <w:rPr>
                <w:rFonts w:ascii="Arial" w:hAnsi="Arial" w:cs="Arial"/>
                <w:color w:val="000000"/>
                <w:sz w:val="18"/>
                <w:szCs w:val="18"/>
                <w:shd w:val="clear" w:color="auto" w:fill="FFFFFF"/>
              </w:rPr>
              <w:t>TW1 3NH</w:t>
            </w:r>
          </w:p>
        </w:tc>
      </w:tr>
      <w:tr w:rsidR="0009445B" w:rsidTr="0009445B">
        <w:trPr>
          <w:trHeight w:val="633"/>
        </w:trPr>
        <w:tc>
          <w:tcPr>
            <w:tcW w:w="3714" w:type="dxa"/>
            <w:tcBorders>
              <w:top w:val="single" w:sz="4" w:space="0" w:color="808080"/>
              <w:left w:val="single" w:sz="4" w:space="0" w:color="808080"/>
              <w:bottom w:val="single" w:sz="4" w:space="0" w:color="808080"/>
              <w:right w:val="single" w:sz="4" w:space="0" w:color="808080"/>
            </w:tcBorders>
            <w:shd w:val="clear" w:color="auto" w:fill="7030A0"/>
            <w:hideMark/>
          </w:tcPr>
          <w:p w:rsidR="0009445B" w:rsidRDefault="0009445B" w:rsidP="0073063F">
            <w:pPr>
              <w:spacing w:line="276" w:lineRule="auto"/>
              <w:rPr>
                <w:rFonts w:ascii="Calibri" w:hAnsi="Calibri" w:cs="Arial"/>
                <w:b/>
                <w:color w:val="FFFFFF"/>
                <w:lang w:eastAsia="en-US"/>
              </w:rPr>
            </w:pPr>
            <w:r>
              <w:rPr>
                <w:rFonts w:ascii="Calibri" w:hAnsi="Calibri" w:cs="Arial"/>
                <w:b/>
                <w:color w:val="FFFFFF"/>
                <w:lang w:eastAsia="en-US"/>
              </w:rPr>
              <w:t>Cost</w:t>
            </w:r>
          </w:p>
        </w:tc>
        <w:tc>
          <w:tcPr>
            <w:tcW w:w="6130" w:type="dxa"/>
            <w:tcBorders>
              <w:top w:val="single" w:sz="4" w:space="0" w:color="808080"/>
              <w:left w:val="single" w:sz="4" w:space="0" w:color="808080"/>
              <w:bottom w:val="single" w:sz="4" w:space="0" w:color="808080"/>
              <w:right w:val="single" w:sz="4" w:space="0" w:color="808080"/>
            </w:tcBorders>
          </w:tcPr>
          <w:p w:rsidR="0009445B" w:rsidRDefault="0009445B" w:rsidP="0073063F">
            <w:pPr>
              <w:spacing w:line="276" w:lineRule="auto"/>
              <w:rPr>
                <w:rFonts w:ascii="Calibri" w:hAnsi="Calibri" w:cs="Arial"/>
                <w:b/>
                <w:color w:val="808080"/>
                <w:lang w:eastAsia="en-US"/>
              </w:rPr>
            </w:pPr>
            <w:r>
              <w:rPr>
                <w:rFonts w:ascii="Calibri" w:hAnsi="Calibri" w:cs="Arial"/>
                <w:b/>
                <w:color w:val="808080"/>
                <w:lang w:eastAsia="en-US"/>
              </w:rPr>
              <w:t>Free for all multi agency practitioners from Kingston &amp; Richmond.</w:t>
            </w:r>
          </w:p>
          <w:p w:rsidR="0009445B" w:rsidRDefault="0009445B" w:rsidP="0073063F">
            <w:pPr>
              <w:spacing w:line="276" w:lineRule="auto"/>
              <w:rPr>
                <w:rFonts w:ascii="Calibri" w:hAnsi="Calibri" w:cs="Arial"/>
                <w:b/>
                <w:color w:val="808080"/>
                <w:lang w:eastAsia="en-US"/>
              </w:rPr>
            </w:pPr>
            <w:r>
              <w:rPr>
                <w:rFonts w:ascii="Calibri" w:hAnsi="Calibri" w:cs="Arial"/>
                <w:b/>
                <w:color w:val="808080"/>
                <w:lang w:eastAsia="en-US"/>
              </w:rPr>
              <w:t>Schools will be charged £</w:t>
            </w:r>
            <w:r w:rsidR="002C1892">
              <w:rPr>
                <w:rFonts w:ascii="Calibri" w:hAnsi="Calibri" w:cs="Arial"/>
                <w:b/>
                <w:color w:val="808080"/>
                <w:lang w:eastAsia="en-US"/>
              </w:rPr>
              <w:t>120</w:t>
            </w:r>
            <w:r>
              <w:rPr>
                <w:rFonts w:ascii="Calibri" w:hAnsi="Calibri" w:cs="Arial"/>
                <w:b/>
                <w:color w:val="808080"/>
                <w:lang w:eastAsia="en-US"/>
              </w:rPr>
              <w:t xml:space="preserve"> per place </w:t>
            </w:r>
          </w:p>
          <w:p w:rsidR="0009445B" w:rsidRDefault="0009445B" w:rsidP="0073063F">
            <w:pPr>
              <w:spacing w:line="276" w:lineRule="auto"/>
              <w:rPr>
                <w:rFonts w:ascii="Calibri" w:hAnsi="Calibri" w:cs="Arial"/>
                <w:b/>
                <w:color w:val="808080"/>
                <w:lang w:eastAsia="en-US"/>
              </w:rPr>
            </w:pPr>
          </w:p>
          <w:p w:rsidR="0009445B" w:rsidRDefault="0009445B" w:rsidP="0073063F">
            <w:pPr>
              <w:spacing w:line="276" w:lineRule="auto"/>
              <w:rPr>
                <w:rFonts w:ascii="Calibri" w:hAnsi="Calibri" w:cs="Arial"/>
                <w:b/>
                <w:color w:val="808080"/>
                <w:lang w:eastAsia="en-US"/>
              </w:rPr>
            </w:pPr>
            <w:r>
              <w:rPr>
                <w:rFonts w:ascii="Calibri" w:hAnsi="Calibri" w:cs="Arial"/>
                <w:b/>
                <w:color w:val="808080"/>
                <w:lang w:eastAsia="en-US"/>
              </w:rPr>
              <w:t>Please note that there will be a charge of £</w:t>
            </w:r>
            <w:r w:rsidR="002C1892">
              <w:rPr>
                <w:rFonts w:ascii="Calibri" w:hAnsi="Calibri" w:cs="Arial"/>
                <w:b/>
                <w:color w:val="808080"/>
                <w:lang w:eastAsia="en-US"/>
              </w:rPr>
              <w:t>120</w:t>
            </w:r>
            <w:r>
              <w:rPr>
                <w:rFonts w:ascii="Calibri" w:hAnsi="Calibri" w:cs="Arial"/>
                <w:b/>
                <w:color w:val="808080"/>
                <w:lang w:eastAsia="en-US"/>
              </w:rPr>
              <w:t xml:space="preserve"> will be applied when there is non- attendance when a place has been booked  </w:t>
            </w:r>
          </w:p>
          <w:p w:rsidR="0009445B" w:rsidRDefault="0009445B" w:rsidP="0073063F">
            <w:pPr>
              <w:spacing w:line="276" w:lineRule="auto"/>
              <w:rPr>
                <w:rFonts w:ascii="Calibri" w:hAnsi="Calibri" w:cs="Arial"/>
                <w:b/>
                <w:color w:val="808080"/>
                <w:lang w:eastAsia="en-US"/>
              </w:rPr>
            </w:pPr>
          </w:p>
        </w:tc>
      </w:tr>
      <w:tr w:rsidR="0009445B" w:rsidTr="0009445B">
        <w:trPr>
          <w:trHeight w:val="633"/>
        </w:trPr>
        <w:tc>
          <w:tcPr>
            <w:tcW w:w="3714" w:type="dxa"/>
            <w:tcBorders>
              <w:top w:val="single" w:sz="4" w:space="0" w:color="808080"/>
              <w:left w:val="single" w:sz="4" w:space="0" w:color="808080"/>
              <w:bottom w:val="single" w:sz="4" w:space="0" w:color="808080"/>
              <w:right w:val="single" w:sz="4" w:space="0" w:color="808080"/>
            </w:tcBorders>
            <w:shd w:val="clear" w:color="auto" w:fill="7030A0"/>
            <w:hideMark/>
          </w:tcPr>
          <w:p w:rsidR="0009445B" w:rsidRDefault="0009445B" w:rsidP="0073063F">
            <w:pPr>
              <w:spacing w:line="276" w:lineRule="auto"/>
              <w:rPr>
                <w:rFonts w:ascii="Calibri" w:hAnsi="Calibri" w:cs="Arial"/>
                <w:b/>
                <w:color w:val="FFFFFF"/>
                <w:lang w:eastAsia="en-US"/>
              </w:rPr>
            </w:pPr>
            <w:r>
              <w:rPr>
                <w:rFonts w:ascii="Calibri" w:hAnsi="Calibri" w:cs="Arial"/>
                <w:b/>
                <w:color w:val="FFFFFF"/>
                <w:lang w:eastAsia="en-US"/>
              </w:rPr>
              <w:t>To book a place</w:t>
            </w:r>
          </w:p>
        </w:tc>
        <w:tc>
          <w:tcPr>
            <w:tcW w:w="6130" w:type="dxa"/>
            <w:tcBorders>
              <w:top w:val="single" w:sz="4" w:space="0" w:color="808080"/>
              <w:left w:val="single" w:sz="4" w:space="0" w:color="808080"/>
              <w:bottom w:val="single" w:sz="4" w:space="0" w:color="808080"/>
              <w:right w:val="single" w:sz="4" w:space="0" w:color="808080"/>
            </w:tcBorders>
          </w:tcPr>
          <w:p w:rsidR="0009445B" w:rsidRDefault="00A113B2" w:rsidP="0073063F">
            <w:pPr>
              <w:spacing w:line="276" w:lineRule="auto"/>
              <w:rPr>
                <w:rFonts w:ascii="Calibri" w:hAnsi="Calibri" w:cs="Arial"/>
                <w:b/>
                <w:color w:val="808080"/>
                <w:lang w:eastAsia="en-US"/>
              </w:rPr>
            </w:pPr>
            <w:hyperlink r:id="rId8" w:history="1">
              <w:r w:rsidR="00BD3F94" w:rsidRPr="00BD3F94">
                <w:rPr>
                  <w:rStyle w:val="Hyperlink"/>
                  <w:rFonts w:ascii="Calibri" w:hAnsi="Calibri" w:cs="Arial"/>
                  <w:b/>
                  <w:lang w:eastAsia="en-US"/>
                </w:rPr>
                <w:t>ChildSexualExploitation&amp;ChildExploitation</w:t>
              </w:r>
            </w:hyperlink>
          </w:p>
        </w:tc>
      </w:tr>
    </w:tbl>
    <w:p w:rsidR="0009445B" w:rsidRDefault="0009445B" w:rsidP="0009445B">
      <w:pPr>
        <w:jc w:val="center"/>
        <w:rPr>
          <w:rFonts w:ascii="Calibri" w:hAnsi="Calibri" w:cs="Calibri"/>
          <w:b/>
          <w:color w:val="808080"/>
        </w:rPr>
      </w:pPr>
    </w:p>
    <w:p w:rsidR="00B41A32" w:rsidRDefault="00B41A32" w:rsidP="00B41A32">
      <w:pPr>
        <w:rPr>
          <w:rFonts w:ascii="Calibri" w:hAnsi="Calibri" w:cs="Calibri"/>
          <w:color w:val="808080"/>
        </w:rPr>
      </w:pPr>
    </w:p>
    <w:tbl>
      <w:tblPr>
        <w:tblpPr w:leftFromText="180" w:rightFromText="180" w:vertAnchor="text" w:horzAnchor="margin" w:tblpY="-171"/>
        <w:tblW w:w="9844" w:type="dxa"/>
        <w:tblBorders>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3714"/>
        <w:gridCol w:w="6130"/>
      </w:tblGrid>
      <w:tr w:rsidR="00B41A32" w:rsidRPr="0067478C" w:rsidTr="0009445B">
        <w:trPr>
          <w:trHeight w:val="66"/>
        </w:trPr>
        <w:tc>
          <w:tcPr>
            <w:tcW w:w="3714" w:type="dxa"/>
            <w:tcBorders>
              <w:top w:val="nil"/>
              <w:left w:val="nil"/>
              <w:bottom w:val="nil"/>
              <w:right w:val="nil"/>
            </w:tcBorders>
            <w:shd w:val="clear" w:color="auto" w:fill="FFFFFF"/>
          </w:tcPr>
          <w:p w:rsidR="00B41A32" w:rsidRPr="005D09F0" w:rsidRDefault="00B41A32" w:rsidP="00986113">
            <w:pPr>
              <w:rPr>
                <w:rFonts w:ascii="Calibri" w:hAnsi="Calibri"/>
                <w:color w:val="FFFFFF"/>
              </w:rPr>
            </w:pPr>
          </w:p>
        </w:tc>
        <w:tc>
          <w:tcPr>
            <w:tcW w:w="6130" w:type="dxa"/>
            <w:tcBorders>
              <w:top w:val="nil"/>
              <w:left w:val="nil"/>
              <w:bottom w:val="nil"/>
              <w:right w:val="nil"/>
            </w:tcBorders>
            <w:shd w:val="clear" w:color="auto" w:fill="FFFFFF"/>
          </w:tcPr>
          <w:p w:rsidR="00B41A32" w:rsidRPr="0067478C" w:rsidRDefault="00B41A32" w:rsidP="00986113">
            <w:pPr>
              <w:rPr>
                <w:rFonts w:ascii="Calibri" w:hAnsi="Calibri" w:cs="Arial"/>
                <w:b/>
                <w:color w:val="808080"/>
              </w:rPr>
            </w:pPr>
          </w:p>
        </w:tc>
      </w:tr>
    </w:tbl>
    <w:p w:rsidR="00230101" w:rsidRDefault="00230101" w:rsidP="00B41A32">
      <w:pPr>
        <w:jc w:val="center"/>
        <w:rPr>
          <w:rFonts w:ascii="Calibri" w:hAnsi="Calibri" w:cs="Calibri"/>
          <w:b/>
          <w:color w:val="808080"/>
        </w:rPr>
      </w:pPr>
    </w:p>
    <w:p w:rsidR="00496745" w:rsidRPr="00230101" w:rsidRDefault="00230101" w:rsidP="00B41A32">
      <w:pPr>
        <w:jc w:val="center"/>
        <w:rPr>
          <w:rFonts w:ascii="Calibri" w:hAnsi="Calibri" w:cs="Calibri"/>
          <w:b/>
          <w:color w:val="808080"/>
        </w:rPr>
      </w:pPr>
      <w:r w:rsidRPr="00230101">
        <w:rPr>
          <w:rFonts w:ascii="Calibri" w:hAnsi="Calibri" w:cs="Calibri"/>
          <w:b/>
          <w:color w:val="808080"/>
        </w:rPr>
        <w:t xml:space="preserve">Please direct any enquiries to </w:t>
      </w:r>
      <w:r w:rsidR="00B809A8">
        <w:rPr>
          <w:rFonts w:ascii="Calibri" w:hAnsi="Calibri" w:cs="Calibri"/>
          <w:b/>
          <w:color w:val="808080"/>
        </w:rPr>
        <w:t>Daksha.Mistry</w:t>
      </w:r>
      <w:r w:rsidR="009C2F7C">
        <w:rPr>
          <w:rFonts w:ascii="Calibri" w:hAnsi="Calibri" w:cs="Calibri"/>
          <w:b/>
          <w:color w:val="808080"/>
        </w:rPr>
        <w:t>@</w:t>
      </w:r>
      <w:r w:rsidR="0009445B">
        <w:rPr>
          <w:rFonts w:ascii="Calibri" w:hAnsi="Calibri" w:cs="Calibri"/>
          <w:b/>
          <w:color w:val="808080"/>
        </w:rPr>
        <w:t>kingrichlscb</w:t>
      </w:r>
      <w:r w:rsidRPr="00230101">
        <w:rPr>
          <w:rFonts w:ascii="Calibri" w:hAnsi="Calibri" w:cs="Calibri"/>
          <w:b/>
          <w:color w:val="808080"/>
        </w:rPr>
        <w:t>.org.uk</w:t>
      </w:r>
    </w:p>
    <w:sectPr w:rsidR="00496745" w:rsidRPr="00230101" w:rsidSect="00B41A32">
      <w:headerReference w:type="default" r:id="rId9"/>
      <w:footerReference w:type="default" r:id="rId10"/>
      <w:pgSz w:w="11906" w:h="16838"/>
      <w:pgMar w:top="707" w:right="1440" w:bottom="144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16B" w:rsidRDefault="00A6016B" w:rsidP="00A6016B">
      <w:r>
        <w:separator/>
      </w:r>
    </w:p>
  </w:endnote>
  <w:endnote w:type="continuationSeparator" w:id="0">
    <w:p w:rsidR="00A6016B" w:rsidRDefault="00A6016B" w:rsidP="00A60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233" w:rsidRDefault="00921233" w:rsidP="00921233">
    <w:pPr>
      <w:pStyle w:val="Footer"/>
      <w:jc w:val="center"/>
    </w:pPr>
    <w:r w:rsidRPr="00817C60">
      <w:rPr>
        <w:rFonts w:ascii="Calibri" w:hAnsi="Calibri"/>
        <w:b/>
        <w:color w:val="7030A0"/>
        <w:sz w:val="28"/>
        <w:szCs w:val="28"/>
      </w:rPr>
      <w:t xml:space="preserve">Kingston and Richmond LSCB </w:t>
    </w:r>
    <w:hyperlink r:id="rId1" w:history="1">
      <w:r w:rsidRPr="00817C60">
        <w:rPr>
          <w:rStyle w:val="Hyperlink"/>
          <w:rFonts w:ascii="Calibri" w:hAnsi="Calibri"/>
          <w:b/>
          <w:color w:val="7030A0"/>
          <w:sz w:val="28"/>
          <w:szCs w:val="28"/>
        </w:rPr>
        <w:t>www.kingstonandrichmondlscb.org.uk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16B" w:rsidRDefault="00A6016B" w:rsidP="00A6016B">
      <w:r>
        <w:separator/>
      </w:r>
    </w:p>
  </w:footnote>
  <w:footnote w:type="continuationSeparator" w:id="0">
    <w:p w:rsidR="00A6016B" w:rsidRDefault="00A6016B" w:rsidP="00A601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16B" w:rsidRDefault="00A6016B" w:rsidP="00A6016B">
    <w:pPr>
      <w:pStyle w:val="Header"/>
      <w:ind w:left="-426" w:firstLine="426"/>
    </w:pPr>
    <w:r>
      <w:rPr>
        <w:noProof/>
      </w:rPr>
      <w:drawing>
        <wp:inline distT="0" distB="0" distL="0" distR="0" wp14:anchorId="29112499" wp14:editId="11B5CFF6">
          <wp:extent cx="6267450" cy="1066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tificate Logo.jpg"/>
                  <pic:cNvPicPr/>
                </pic:nvPicPr>
                <pic:blipFill>
                  <a:blip r:embed="rId1">
                    <a:extLst>
                      <a:ext uri="{28A0092B-C50C-407E-A947-70E740481C1C}">
                        <a14:useLocalDpi xmlns:a14="http://schemas.microsoft.com/office/drawing/2010/main" val="0"/>
                      </a:ext>
                    </a:extLst>
                  </a:blip>
                  <a:stretch>
                    <a:fillRect/>
                  </a:stretch>
                </pic:blipFill>
                <pic:spPr>
                  <a:xfrm>
                    <a:off x="0" y="0"/>
                    <a:ext cx="6267450" cy="10668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E19F2"/>
    <w:multiLevelType w:val="multilevel"/>
    <w:tmpl w:val="FA2E3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D6110D"/>
    <w:multiLevelType w:val="hybridMultilevel"/>
    <w:tmpl w:val="BA00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B51C2D"/>
    <w:multiLevelType w:val="hybridMultilevel"/>
    <w:tmpl w:val="30742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57672C"/>
    <w:multiLevelType w:val="hybridMultilevel"/>
    <w:tmpl w:val="B00C5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017E51"/>
    <w:multiLevelType w:val="hybridMultilevel"/>
    <w:tmpl w:val="6F14F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16B"/>
    <w:rsid w:val="0009445B"/>
    <w:rsid w:val="001615B9"/>
    <w:rsid w:val="00230101"/>
    <w:rsid w:val="002830E3"/>
    <w:rsid w:val="002C1892"/>
    <w:rsid w:val="006C1D35"/>
    <w:rsid w:val="00921233"/>
    <w:rsid w:val="009C2F7C"/>
    <w:rsid w:val="00A113B2"/>
    <w:rsid w:val="00A6016B"/>
    <w:rsid w:val="00B41A32"/>
    <w:rsid w:val="00B809A8"/>
    <w:rsid w:val="00BD3F94"/>
    <w:rsid w:val="00EC3D4D"/>
    <w:rsid w:val="00F418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BD0EF4E1-1FBD-4C69-A0A5-220A81EF6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A32"/>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B41A3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41A3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16B"/>
    <w:pPr>
      <w:tabs>
        <w:tab w:val="center" w:pos="4513"/>
        <w:tab w:val="right" w:pos="9026"/>
      </w:tabs>
    </w:pPr>
  </w:style>
  <w:style w:type="character" w:customStyle="1" w:styleId="HeaderChar">
    <w:name w:val="Header Char"/>
    <w:basedOn w:val="DefaultParagraphFont"/>
    <w:link w:val="Header"/>
    <w:uiPriority w:val="99"/>
    <w:rsid w:val="00A6016B"/>
  </w:style>
  <w:style w:type="paragraph" w:styleId="Footer">
    <w:name w:val="footer"/>
    <w:basedOn w:val="Normal"/>
    <w:link w:val="FooterChar"/>
    <w:uiPriority w:val="99"/>
    <w:unhideWhenUsed/>
    <w:rsid w:val="00A6016B"/>
    <w:pPr>
      <w:tabs>
        <w:tab w:val="center" w:pos="4513"/>
        <w:tab w:val="right" w:pos="9026"/>
      </w:tabs>
    </w:pPr>
  </w:style>
  <w:style w:type="character" w:customStyle="1" w:styleId="FooterChar">
    <w:name w:val="Footer Char"/>
    <w:basedOn w:val="DefaultParagraphFont"/>
    <w:link w:val="Footer"/>
    <w:uiPriority w:val="99"/>
    <w:rsid w:val="00A6016B"/>
  </w:style>
  <w:style w:type="paragraph" w:styleId="BalloonText">
    <w:name w:val="Balloon Text"/>
    <w:basedOn w:val="Normal"/>
    <w:link w:val="BalloonTextChar"/>
    <w:uiPriority w:val="99"/>
    <w:semiHidden/>
    <w:unhideWhenUsed/>
    <w:rsid w:val="00A6016B"/>
    <w:rPr>
      <w:rFonts w:ascii="Tahoma" w:hAnsi="Tahoma" w:cs="Tahoma"/>
      <w:sz w:val="16"/>
      <w:szCs w:val="16"/>
    </w:rPr>
  </w:style>
  <w:style w:type="character" w:customStyle="1" w:styleId="BalloonTextChar">
    <w:name w:val="Balloon Text Char"/>
    <w:basedOn w:val="DefaultParagraphFont"/>
    <w:link w:val="BalloonText"/>
    <w:uiPriority w:val="99"/>
    <w:semiHidden/>
    <w:rsid w:val="00A6016B"/>
    <w:rPr>
      <w:rFonts w:ascii="Tahoma" w:hAnsi="Tahoma" w:cs="Tahoma"/>
      <w:sz w:val="16"/>
      <w:szCs w:val="16"/>
    </w:rPr>
  </w:style>
  <w:style w:type="character" w:customStyle="1" w:styleId="Heading1Char">
    <w:name w:val="Heading 1 Char"/>
    <w:basedOn w:val="DefaultParagraphFont"/>
    <w:link w:val="Heading1"/>
    <w:rsid w:val="00B41A32"/>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B41A32"/>
    <w:rPr>
      <w:rFonts w:ascii="Arial" w:eastAsia="Times New Roman" w:hAnsi="Arial" w:cs="Arial"/>
      <w:b/>
      <w:bCs/>
      <w:i/>
      <w:iCs/>
      <w:sz w:val="28"/>
      <w:szCs w:val="28"/>
      <w:lang w:eastAsia="en-GB"/>
    </w:rPr>
  </w:style>
  <w:style w:type="character" w:styleId="Hyperlink">
    <w:name w:val="Hyperlink"/>
    <w:rsid w:val="00B41A32"/>
    <w:rPr>
      <w:color w:val="0000FF"/>
      <w:u w:val="single"/>
    </w:rPr>
  </w:style>
  <w:style w:type="paragraph" w:styleId="NormalWeb">
    <w:name w:val="Normal (Web)"/>
    <w:basedOn w:val="Normal"/>
    <w:uiPriority w:val="99"/>
    <w:semiHidden/>
    <w:unhideWhenUsed/>
    <w:rsid w:val="00B809A8"/>
    <w:pPr>
      <w:spacing w:before="100" w:beforeAutospacing="1" w:after="100" w:afterAutospacing="1"/>
    </w:pPr>
  </w:style>
  <w:style w:type="paragraph" w:styleId="ListParagraph">
    <w:name w:val="List Paragraph"/>
    <w:basedOn w:val="Normal"/>
    <w:uiPriority w:val="34"/>
    <w:qFormat/>
    <w:rsid w:val="002C18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891877">
      <w:bodyDiv w:val="1"/>
      <w:marLeft w:val="0"/>
      <w:marRight w:val="0"/>
      <w:marTop w:val="0"/>
      <w:marBottom w:val="0"/>
      <w:divBdr>
        <w:top w:val="none" w:sz="0" w:space="0" w:color="auto"/>
        <w:left w:val="none" w:sz="0" w:space="0" w:color="auto"/>
        <w:bottom w:val="none" w:sz="0" w:space="0" w:color="auto"/>
        <w:right w:val="none" w:sz="0" w:space="0" w:color="auto"/>
      </w:divBdr>
    </w:div>
    <w:div w:id="192637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ining.kingstonandrichmondlscb.org.uk/Course/CourseDescriptive.aspx?id=15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kingstonandrichmondlscb.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BC748-07BD-495F-8C3B-220F8C6C2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515</Words>
  <Characters>2939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London Borough of Richmond Upon Thames</Company>
  <LinksUpToDate>false</LinksUpToDate>
  <CharactersWithSpaces>3448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Justine Dalton (AFC)</dc:creator>
  <cp:lastModifiedBy>Alexander Vassallo CSF</cp:lastModifiedBy>
  <cp:revision>2</cp:revision>
  <dcterms:created xsi:type="dcterms:W3CDTF">2019-04-05T16:12:00Z</dcterms:created>
  <dcterms:modified xsi:type="dcterms:W3CDTF">2019-04-05T16:12:00Z</dcterms:modified>
</cp:coreProperties>
</file>